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0ED12AD2" w:rsidR="008E000B" w:rsidRDefault="009D71E8" w:rsidP="00357537">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57537">
        <w:t xml:space="preserve"> for St Thomas More Catholic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F77DE4B" w:rsidR="002940F3" w:rsidRDefault="00AC6A71">
            <w:pPr>
              <w:pStyle w:val="TableRow"/>
            </w:pPr>
            <w:r>
              <w:t>197</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1A4A06D" w:rsidR="002940F3" w:rsidRDefault="00D51D74">
            <w:pPr>
              <w:pStyle w:val="TableRow"/>
            </w:pPr>
            <w:r>
              <w:t>21%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E50C5C" w14:textId="2FA60A90" w:rsidR="002940F3" w:rsidRDefault="00AC6A71">
            <w:pPr>
              <w:pStyle w:val="TableRow"/>
            </w:pPr>
            <w:r>
              <w:t>2021</w:t>
            </w:r>
            <w:r w:rsidR="004A54DA">
              <w:t xml:space="preserve"> </w:t>
            </w:r>
            <w:r>
              <w:t>-</w:t>
            </w:r>
            <w:r w:rsidR="004A54DA">
              <w:t xml:space="preserve"> </w:t>
            </w:r>
            <w:r>
              <w:t>2022</w:t>
            </w:r>
          </w:p>
          <w:p w14:paraId="2C77C0BF" w14:textId="70F5D32A" w:rsidR="00AC6A71" w:rsidRDefault="00AC6A71">
            <w:pPr>
              <w:pStyle w:val="TableRow"/>
            </w:pPr>
            <w:r>
              <w:t>2022 - 2023</w:t>
            </w:r>
          </w:p>
          <w:p w14:paraId="2A7D54BF" w14:textId="647CA693" w:rsidR="00AC6A71" w:rsidRDefault="00AC6A71">
            <w:pPr>
              <w:pStyle w:val="TableRow"/>
            </w:pPr>
            <w:r>
              <w:t>2023 - 2024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D294192" w:rsidR="002940F3" w:rsidRDefault="004A54DA">
            <w:pPr>
              <w:pStyle w:val="TableRow"/>
            </w:pPr>
            <w:r>
              <w:t>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EA2109A" w:rsidR="002940F3" w:rsidRDefault="004A54DA">
            <w:pPr>
              <w:pStyle w:val="TableRow"/>
            </w:pPr>
            <w:r>
              <w:t>November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32B7ED8" w:rsidR="002940F3" w:rsidRDefault="004A54DA">
            <w:pPr>
              <w:pStyle w:val="TableRow"/>
            </w:pPr>
            <w:r>
              <w:t>Headteacher and Chair of Governors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A6F2A22" w:rsidR="002940F3" w:rsidRDefault="004A54DA">
            <w:pPr>
              <w:pStyle w:val="TableRow"/>
            </w:pPr>
            <w:r>
              <w:t xml:space="preserve">Siobhan Barnes </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89C2B6B" w:rsidR="002940F3" w:rsidRDefault="004A54DA">
            <w:pPr>
              <w:pStyle w:val="TableRow"/>
            </w:pPr>
            <w:r>
              <w:t>Evelyn Holsworth</w:t>
            </w: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344D1" w14:textId="77777777" w:rsidR="00E66558" w:rsidRDefault="009D71E8">
            <w:pPr>
              <w:pStyle w:val="TableRow"/>
            </w:pPr>
            <w:r>
              <w:t>£</w:t>
            </w:r>
            <w:r w:rsidR="004A54DA">
              <w:t>59,291.00</w:t>
            </w:r>
          </w:p>
          <w:p w14:paraId="2A7D54D8" w14:textId="5527DF36" w:rsidR="004A54DA" w:rsidRDefault="004A54DA">
            <w:pPr>
              <w:pStyle w:val="TableRow"/>
            </w:pPr>
            <w:r>
              <w:t>£27,027.00 (21/22)</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612E1C1" w:rsidR="00E66558" w:rsidRDefault="009D71E8">
            <w:pPr>
              <w:pStyle w:val="TableRow"/>
            </w:pPr>
            <w:r>
              <w:t>£</w:t>
            </w:r>
            <w:r w:rsidR="004A54DA">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2219204" w:rsidR="00E66558" w:rsidRDefault="009D71E8">
            <w:pPr>
              <w:pStyle w:val="TableRow"/>
            </w:pPr>
            <w:r>
              <w:t>£</w:t>
            </w:r>
            <w:r w:rsidR="004A54DA">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0ABC1" w14:textId="77777777" w:rsidR="00E66558" w:rsidRDefault="009D71E8">
            <w:pPr>
              <w:pStyle w:val="TableRow"/>
            </w:pPr>
            <w:r>
              <w:t>£</w:t>
            </w:r>
            <w:r w:rsidR="004A54DA">
              <w:t>59,291.00</w:t>
            </w:r>
          </w:p>
          <w:p w14:paraId="2A7D54E2" w14:textId="60694ADB" w:rsidR="004A54DA" w:rsidRDefault="004A54DA">
            <w:pPr>
              <w:pStyle w:val="TableRow"/>
            </w:pPr>
            <w:r>
              <w:t>£27,027.00 (21/22)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8224" w14:textId="77777777" w:rsidR="004A54DA" w:rsidRDefault="004A54DA" w:rsidP="004A54DA">
            <w:pPr>
              <w:rPr>
                <w:iCs/>
              </w:rPr>
            </w:pPr>
            <w:r>
              <w:rPr>
                <w:iCs/>
              </w:rPr>
              <w:t>Pupil Premium funding is designed to help raise the attainment of disadvantaged pupils of all abilities and close the gap between them and their peers.  At St Thomas More Primary we are committed to removing any barriers to ensure they reach their full potential now and in the future and with the disproportionally high impact of Covid-19 on the education of disadvantaged pupils it makes this more important than ever.</w:t>
            </w:r>
          </w:p>
          <w:p w14:paraId="37D77579" w14:textId="77777777" w:rsidR="004A54DA" w:rsidRDefault="004A54DA" w:rsidP="004A54DA">
            <w:pPr>
              <w:rPr>
                <w:iCs/>
              </w:rPr>
            </w:pPr>
            <w:r>
              <w:rPr>
                <w:iCs/>
              </w:rPr>
              <w:t>When deciding how the funding is best spent it is important to consider the context of our school and the subsequent challenges faced.  Research conducted by the EEF is used to inform and support decisions around the usefulness of different strategies and their value for money.</w:t>
            </w:r>
          </w:p>
          <w:p w14:paraId="5FC266FE" w14:textId="77777777" w:rsidR="004A54DA" w:rsidRDefault="004A54DA" w:rsidP="004A54DA">
            <w:pPr>
              <w:rPr>
                <w:iCs/>
              </w:rPr>
            </w:pPr>
            <w:r>
              <w:rPr>
                <w:iCs/>
              </w:rPr>
              <w:t>Common barriers to learning for disadvantaged pupils can be; less support at home, below average communication skills and attendance and punctuality issues.  The challenges are varied and there is ‘no one size fits all’ model.</w:t>
            </w:r>
          </w:p>
          <w:p w14:paraId="3FF5F56A" w14:textId="77777777" w:rsidR="004A54DA" w:rsidRDefault="004A54DA" w:rsidP="004A54DA">
            <w:pPr>
              <w:rPr>
                <w:iCs/>
              </w:rPr>
            </w:pPr>
            <w:r>
              <w:rPr>
                <w:iCs/>
              </w:rPr>
              <w:t>Our ultimate objectives are:</w:t>
            </w:r>
          </w:p>
          <w:p w14:paraId="59D4C6DD" w14:textId="77777777" w:rsidR="004A54DA" w:rsidRDefault="004A54DA" w:rsidP="004A54DA">
            <w:pPr>
              <w:pStyle w:val="ListParagraph"/>
              <w:numPr>
                <w:ilvl w:val="0"/>
                <w:numId w:val="14"/>
              </w:numPr>
              <w:rPr>
                <w:iCs/>
              </w:rPr>
            </w:pPr>
            <w:r>
              <w:rPr>
                <w:iCs/>
              </w:rPr>
              <w:t>To narrow the gap between disadvantaged and non-disadvantaged pupils</w:t>
            </w:r>
          </w:p>
          <w:p w14:paraId="52DDE094" w14:textId="77777777" w:rsidR="004A54DA" w:rsidRDefault="004A54DA" w:rsidP="004A54DA">
            <w:pPr>
              <w:pStyle w:val="ListParagraph"/>
              <w:numPr>
                <w:ilvl w:val="0"/>
                <w:numId w:val="14"/>
              </w:numPr>
              <w:rPr>
                <w:iCs/>
              </w:rPr>
            </w:pPr>
            <w:r>
              <w:rPr>
                <w:iCs/>
              </w:rPr>
              <w:t>To support our pupils’ health and well-being by creating a safe environment that will enable them to access the learning at an appropriate level</w:t>
            </w:r>
          </w:p>
          <w:p w14:paraId="24FD74DE" w14:textId="77777777" w:rsidR="004A54DA" w:rsidRDefault="004A54DA" w:rsidP="004A54DA">
            <w:pPr>
              <w:pStyle w:val="ListParagraph"/>
              <w:numPr>
                <w:ilvl w:val="0"/>
                <w:numId w:val="14"/>
              </w:numPr>
              <w:rPr>
                <w:iCs/>
              </w:rPr>
            </w:pPr>
            <w:r>
              <w:rPr>
                <w:iCs/>
              </w:rPr>
              <w:t>Improved attendance for key pupils</w:t>
            </w:r>
          </w:p>
          <w:p w14:paraId="2A794017" w14:textId="77777777" w:rsidR="004A54DA" w:rsidRDefault="004A54DA" w:rsidP="004A54DA">
            <w:pPr>
              <w:pStyle w:val="ListParagraph"/>
              <w:numPr>
                <w:ilvl w:val="0"/>
                <w:numId w:val="14"/>
              </w:numPr>
              <w:rPr>
                <w:iCs/>
              </w:rPr>
            </w:pPr>
            <w:r>
              <w:rPr>
                <w:iCs/>
              </w:rPr>
              <w:t>Ensure all disadvantaged pupils make progress</w:t>
            </w:r>
          </w:p>
          <w:p w14:paraId="089C8B39" w14:textId="77777777" w:rsidR="004A54DA" w:rsidRDefault="004A54DA" w:rsidP="004A54DA">
            <w:pPr>
              <w:rPr>
                <w:iCs/>
              </w:rPr>
            </w:pPr>
            <w:r>
              <w:rPr>
                <w:iCs/>
              </w:rPr>
              <w:t>We will aim to do this through:</w:t>
            </w:r>
          </w:p>
          <w:p w14:paraId="7895CD84" w14:textId="77777777" w:rsidR="004A54DA" w:rsidRPr="001E7879" w:rsidRDefault="004A54DA" w:rsidP="004A54DA">
            <w:pPr>
              <w:pStyle w:val="ListParagraph"/>
              <w:numPr>
                <w:ilvl w:val="0"/>
                <w:numId w:val="16"/>
              </w:numPr>
              <w:rPr>
                <w:iCs/>
              </w:rPr>
            </w:pPr>
            <w:r>
              <w:rPr>
                <w:iCs/>
              </w:rPr>
              <w:t>Ensure all pupils receive quality first teaching that is good or better</w:t>
            </w:r>
          </w:p>
          <w:p w14:paraId="25FA298E" w14:textId="77777777" w:rsidR="004A54DA" w:rsidRDefault="004A54DA" w:rsidP="004A54DA">
            <w:pPr>
              <w:pStyle w:val="ListParagraph"/>
              <w:numPr>
                <w:ilvl w:val="0"/>
                <w:numId w:val="15"/>
              </w:numPr>
              <w:rPr>
                <w:iCs/>
              </w:rPr>
            </w:pPr>
            <w:r>
              <w:rPr>
                <w:iCs/>
              </w:rPr>
              <w:t>Making sure teaching and learning opportunities meet the needs of all the pupils</w:t>
            </w:r>
          </w:p>
          <w:p w14:paraId="0918F5F2" w14:textId="77777777" w:rsidR="004A54DA" w:rsidRDefault="004A54DA" w:rsidP="004A54DA">
            <w:pPr>
              <w:pStyle w:val="ListParagraph"/>
              <w:numPr>
                <w:ilvl w:val="0"/>
                <w:numId w:val="15"/>
              </w:numPr>
              <w:rPr>
                <w:iCs/>
              </w:rPr>
            </w:pPr>
            <w:r>
              <w:rPr>
                <w:iCs/>
              </w:rPr>
              <w:t>Small  group work where necessary</w:t>
            </w:r>
          </w:p>
          <w:p w14:paraId="1D9FF1B9" w14:textId="77777777" w:rsidR="004A54DA" w:rsidRDefault="004A54DA" w:rsidP="004A54DA">
            <w:pPr>
              <w:pStyle w:val="ListParagraph"/>
              <w:numPr>
                <w:ilvl w:val="0"/>
                <w:numId w:val="15"/>
              </w:numPr>
              <w:rPr>
                <w:iCs/>
              </w:rPr>
            </w:pPr>
            <w:r>
              <w:rPr>
                <w:iCs/>
              </w:rPr>
              <w:t>Additional teaching and learning opportunities above what they already receive in class</w:t>
            </w:r>
          </w:p>
          <w:p w14:paraId="2A7D54E9" w14:textId="1C091183" w:rsidR="00E66558" w:rsidRDefault="004A54DA" w:rsidP="004A54DA">
            <w:pPr>
              <w:pStyle w:val="ListParagraph"/>
              <w:numPr>
                <w:ilvl w:val="0"/>
                <w:numId w:val="0"/>
              </w:numPr>
              <w:ind w:left="720"/>
              <w:rPr>
                <w:i/>
                <w:iCs/>
              </w:rPr>
            </w:pPr>
            <w:r>
              <w:rPr>
                <w:iCs/>
              </w:rPr>
              <w:t>Support payment for activities, educational visits and residentials.</w:t>
            </w:r>
          </w:p>
        </w:tc>
      </w:tr>
    </w:tbl>
    <w:p w14:paraId="2A7D54EB" w14:textId="77777777" w:rsidR="00E66558" w:rsidRDefault="009D71E8">
      <w:pPr>
        <w:pStyle w:val="Heading2"/>
        <w:spacing w:before="600"/>
      </w:pPr>
      <w:r>
        <w:t>Challenges</w:t>
      </w:r>
    </w:p>
    <w:p w14:paraId="2474EABC" w14:textId="77777777" w:rsidR="00900E44" w:rsidRDefault="00900E44" w:rsidP="00AA355B">
      <w:pPr>
        <w:rPr>
          <w:bCs/>
        </w:rPr>
      </w:pPr>
    </w:p>
    <w:p w14:paraId="2A7D54EC" w14:textId="618773DE"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035611" w:rsidR="00E66558" w:rsidRDefault="00D51D74">
            <w:pPr>
              <w:pStyle w:val="TableRowCentered"/>
              <w:jc w:val="left"/>
            </w:pPr>
            <w:r w:rsidRPr="001E7879">
              <w:rPr>
                <w:iCs/>
                <w:sz w:val="22"/>
                <w:szCs w:val="22"/>
              </w:rPr>
              <w:t>Engagement during lockdown varied and has widened the gap between advantaged and non-disadvantaged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321E68" w:rsidR="00E66558" w:rsidRDefault="00D51D74">
            <w:pPr>
              <w:pStyle w:val="TableRowCentered"/>
              <w:jc w:val="left"/>
              <w:rPr>
                <w:sz w:val="22"/>
                <w:szCs w:val="22"/>
              </w:rPr>
            </w:pPr>
            <w:r>
              <w:rPr>
                <w:sz w:val="22"/>
                <w:szCs w:val="22"/>
              </w:rPr>
              <w:t>Some disadvantaged children have multiple barriers to learning (SEN,CIN,SEMH)</w:t>
            </w:r>
            <w:r w:rsidR="00F21177">
              <w:rPr>
                <w:sz w:val="22"/>
                <w:szCs w:val="22"/>
              </w:rPr>
              <w:t xml:space="preserve"> 8% of PP are SEN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9F08047" w:rsidR="00E66558" w:rsidRDefault="00D51D74" w:rsidP="00E11C38">
            <w:pPr>
              <w:pStyle w:val="TableRowCentered"/>
              <w:jc w:val="left"/>
              <w:rPr>
                <w:sz w:val="22"/>
                <w:szCs w:val="22"/>
              </w:rPr>
            </w:pPr>
            <w:r>
              <w:rPr>
                <w:sz w:val="22"/>
                <w:szCs w:val="22"/>
              </w:rPr>
              <w:t>Regular attendance in school is a challenge for a % of our disadvantaged pupils.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ACEF571" w:rsidR="00E66558" w:rsidRDefault="00E11C38">
            <w:pPr>
              <w:pStyle w:val="TableRow"/>
            </w:pPr>
            <w:r>
              <w:t>Teachers will plan effectively and are able to use progression documents to better support children and narrow gaps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1B11" w14:textId="77777777" w:rsidR="00E66558" w:rsidRDefault="00E11C38" w:rsidP="00E11C38">
            <w:pPr>
              <w:pStyle w:val="TableRowCentered"/>
              <w:numPr>
                <w:ilvl w:val="0"/>
                <w:numId w:val="17"/>
              </w:numPr>
              <w:jc w:val="left"/>
              <w:rPr>
                <w:sz w:val="22"/>
                <w:szCs w:val="22"/>
              </w:rPr>
            </w:pPr>
            <w:r>
              <w:rPr>
                <w:sz w:val="22"/>
                <w:szCs w:val="22"/>
              </w:rPr>
              <w:t>Increased children achieving ARE in reading, writing and maths at the end of KS1</w:t>
            </w:r>
          </w:p>
          <w:p w14:paraId="1E623C9E" w14:textId="77777777" w:rsidR="00E11C38" w:rsidRDefault="00E11C38" w:rsidP="00E11C38">
            <w:pPr>
              <w:pStyle w:val="TableRowCentered"/>
              <w:numPr>
                <w:ilvl w:val="0"/>
                <w:numId w:val="17"/>
              </w:numPr>
              <w:jc w:val="left"/>
              <w:rPr>
                <w:sz w:val="22"/>
                <w:szCs w:val="22"/>
              </w:rPr>
            </w:pPr>
            <w:r>
              <w:rPr>
                <w:sz w:val="22"/>
                <w:szCs w:val="22"/>
              </w:rPr>
              <w:t>Afl will be consistent and feedback moves children on in their learning.</w:t>
            </w:r>
          </w:p>
          <w:p w14:paraId="39B854E2" w14:textId="77777777" w:rsidR="00E11C38" w:rsidRDefault="00E11C38" w:rsidP="00E11C38">
            <w:pPr>
              <w:pStyle w:val="TableRowCentered"/>
              <w:numPr>
                <w:ilvl w:val="0"/>
                <w:numId w:val="17"/>
              </w:numPr>
              <w:jc w:val="left"/>
              <w:rPr>
                <w:sz w:val="22"/>
                <w:szCs w:val="22"/>
              </w:rPr>
            </w:pPr>
            <w:r>
              <w:rPr>
                <w:sz w:val="22"/>
                <w:szCs w:val="22"/>
              </w:rPr>
              <w:t>End of year expectations embedded across the school</w:t>
            </w:r>
          </w:p>
          <w:p w14:paraId="23B120F7" w14:textId="77777777" w:rsidR="00E11C38" w:rsidRDefault="00E11C38" w:rsidP="00E11C38">
            <w:pPr>
              <w:pStyle w:val="TableRowCentered"/>
              <w:numPr>
                <w:ilvl w:val="0"/>
                <w:numId w:val="17"/>
              </w:numPr>
              <w:jc w:val="left"/>
              <w:rPr>
                <w:sz w:val="22"/>
                <w:szCs w:val="22"/>
              </w:rPr>
            </w:pPr>
            <w:r>
              <w:rPr>
                <w:sz w:val="22"/>
                <w:szCs w:val="22"/>
              </w:rPr>
              <w:t>Interventions are purposeful and support the bottom 20% to make rapid progress</w:t>
            </w:r>
          </w:p>
          <w:p w14:paraId="6EB8A10E" w14:textId="77777777" w:rsidR="00E11C38" w:rsidRDefault="00E11C38" w:rsidP="00E11C38">
            <w:pPr>
              <w:pStyle w:val="TableRowCentered"/>
              <w:numPr>
                <w:ilvl w:val="0"/>
                <w:numId w:val="17"/>
              </w:numPr>
              <w:jc w:val="left"/>
              <w:rPr>
                <w:sz w:val="22"/>
                <w:szCs w:val="22"/>
              </w:rPr>
            </w:pPr>
            <w:r>
              <w:rPr>
                <w:sz w:val="22"/>
                <w:szCs w:val="22"/>
              </w:rPr>
              <w:t>QFT meets the needs of all children and fills gaps in knowledge</w:t>
            </w:r>
          </w:p>
          <w:p w14:paraId="7A2E6921" w14:textId="77777777" w:rsidR="00E11C38" w:rsidRDefault="00E11C38" w:rsidP="00E11C38">
            <w:pPr>
              <w:pStyle w:val="TableRowCentered"/>
              <w:numPr>
                <w:ilvl w:val="0"/>
                <w:numId w:val="17"/>
              </w:numPr>
              <w:jc w:val="left"/>
              <w:rPr>
                <w:sz w:val="22"/>
                <w:szCs w:val="22"/>
              </w:rPr>
            </w:pPr>
            <w:r>
              <w:rPr>
                <w:sz w:val="22"/>
                <w:szCs w:val="22"/>
              </w:rPr>
              <w:t>Environment is vocabulary rich and children are able to use the vocabulary correctly.</w:t>
            </w:r>
          </w:p>
          <w:p w14:paraId="2A7D5505" w14:textId="0936954E" w:rsidR="00E11C38" w:rsidRDefault="00E11C38" w:rsidP="00E11C38">
            <w:pPr>
              <w:pStyle w:val="TableRowCentered"/>
              <w:numPr>
                <w:ilvl w:val="0"/>
                <w:numId w:val="17"/>
              </w:numPr>
              <w:jc w:val="left"/>
              <w:rPr>
                <w:sz w:val="22"/>
                <w:szCs w:val="22"/>
              </w:rPr>
            </w:pPr>
            <w:r>
              <w:rPr>
                <w:sz w:val="22"/>
                <w:szCs w:val="22"/>
              </w:rPr>
              <w:t>The environment in the classroom scaffolds the learning for all children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3B724EB" w:rsidR="00E66558" w:rsidRDefault="00E11C38">
            <w:pPr>
              <w:pStyle w:val="TableRow"/>
              <w:rPr>
                <w:sz w:val="22"/>
                <w:szCs w:val="22"/>
              </w:rPr>
            </w:pPr>
            <w:r>
              <w:rPr>
                <w:sz w:val="22"/>
                <w:szCs w:val="22"/>
              </w:rPr>
              <w:t>For all disadvantaged children to attend school regularly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A6C4" w14:textId="77777777" w:rsidR="00E66558" w:rsidRDefault="00E11C38" w:rsidP="00E11C38">
            <w:pPr>
              <w:pStyle w:val="TableRowCentered"/>
              <w:numPr>
                <w:ilvl w:val="0"/>
                <w:numId w:val="18"/>
              </w:numPr>
              <w:jc w:val="left"/>
              <w:rPr>
                <w:sz w:val="22"/>
                <w:szCs w:val="22"/>
              </w:rPr>
            </w:pPr>
            <w:r>
              <w:rPr>
                <w:sz w:val="22"/>
                <w:szCs w:val="22"/>
              </w:rPr>
              <w:t>Attendance and punctuation will improve for targeted children</w:t>
            </w:r>
          </w:p>
          <w:p w14:paraId="72650810" w14:textId="77777777" w:rsidR="00E11C38" w:rsidRDefault="00E11C38" w:rsidP="00E11C38">
            <w:pPr>
              <w:pStyle w:val="TableRowCentered"/>
              <w:numPr>
                <w:ilvl w:val="0"/>
                <w:numId w:val="18"/>
              </w:numPr>
              <w:jc w:val="left"/>
              <w:rPr>
                <w:sz w:val="22"/>
                <w:szCs w:val="22"/>
              </w:rPr>
            </w:pPr>
            <w:r>
              <w:rPr>
                <w:sz w:val="22"/>
                <w:szCs w:val="22"/>
              </w:rPr>
              <w:t>PA will be reduced across the year</w:t>
            </w:r>
          </w:p>
          <w:p w14:paraId="3EE698E9" w14:textId="77777777" w:rsidR="00F21177" w:rsidRDefault="00F21177" w:rsidP="00E11C38">
            <w:pPr>
              <w:pStyle w:val="TableRowCentered"/>
              <w:numPr>
                <w:ilvl w:val="0"/>
                <w:numId w:val="18"/>
              </w:numPr>
              <w:jc w:val="left"/>
              <w:rPr>
                <w:sz w:val="22"/>
                <w:szCs w:val="22"/>
              </w:rPr>
            </w:pPr>
            <w:r>
              <w:rPr>
                <w:sz w:val="22"/>
                <w:szCs w:val="22"/>
              </w:rPr>
              <w:t>Teachers to make early contact with parents where attendance, reading or homework are a concern and address the impact</w:t>
            </w:r>
          </w:p>
          <w:p w14:paraId="38E3B78D" w14:textId="77777777" w:rsidR="00F21177" w:rsidRDefault="00F21177" w:rsidP="00E11C38">
            <w:pPr>
              <w:pStyle w:val="TableRowCentered"/>
              <w:numPr>
                <w:ilvl w:val="0"/>
                <w:numId w:val="18"/>
              </w:numPr>
              <w:jc w:val="left"/>
              <w:rPr>
                <w:sz w:val="22"/>
                <w:szCs w:val="22"/>
              </w:rPr>
            </w:pPr>
            <w:r>
              <w:rPr>
                <w:sz w:val="22"/>
                <w:szCs w:val="22"/>
              </w:rPr>
              <w:t>Teachers to share high aspirations of the children with parents and carers</w:t>
            </w:r>
          </w:p>
          <w:p w14:paraId="61BA3852" w14:textId="77777777" w:rsidR="00F21177" w:rsidRDefault="00F21177" w:rsidP="00E11C38">
            <w:pPr>
              <w:pStyle w:val="TableRowCentered"/>
              <w:numPr>
                <w:ilvl w:val="0"/>
                <w:numId w:val="18"/>
              </w:numPr>
              <w:jc w:val="left"/>
              <w:rPr>
                <w:sz w:val="22"/>
                <w:szCs w:val="22"/>
              </w:rPr>
            </w:pPr>
            <w:r>
              <w:rPr>
                <w:sz w:val="22"/>
                <w:szCs w:val="22"/>
              </w:rPr>
              <w:t>Children’s achievements and work to be shared with parents</w:t>
            </w:r>
          </w:p>
          <w:p w14:paraId="2A7D5508" w14:textId="0B3A013A" w:rsidR="00F21177" w:rsidRDefault="00F21177" w:rsidP="00E11C38">
            <w:pPr>
              <w:pStyle w:val="TableRowCentered"/>
              <w:numPr>
                <w:ilvl w:val="0"/>
                <w:numId w:val="18"/>
              </w:numPr>
              <w:jc w:val="left"/>
              <w:rPr>
                <w:sz w:val="22"/>
                <w:szCs w:val="22"/>
              </w:rPr>
            </w:pPr>
            <w:r>
              <w:rPr>
                <w:sz w:val="22"/>
                <w:szCs w:val="22"/>
              </w:rPr>
              <w:t xml:space="preserve">Newsletters and social media channels share information on attendance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E2C6136" w:rsidR="00E66558" w:rsidRDefault="00F21177">
            <w:pPr>
              <w:pStyle w:val="TableRow"/>
              <w:rPr>
                <w:sz w:val="22"/>
                <w:szCs w:val="22"/>
              </w:rPr>
            </w:pPr>
            <w:r>
              <w:rPr>
                <w:sz w:val="22"/>
                <w:szCs w:val="22"/>
              </w:rPr>
              <w:t>Reduce gaps between those who are disadvantaged or those with additional barriers and those who are not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90FB" w14:textId="77777777" w:rsidR="00E66558" w:rsidRDefault="00F21177" w:rsidP="00F21177">
            <w:pPr>
              <w:pStyle w:val="TableRowCentered"/>
              <w:numPr>
                <w:ilvl w:val="0"/>
                <w:numId w:val="19"/>
              </w:numPr>
              <w:jc w:val="left"/>
              <w:rPr>
                <w:sz w:val="22"/>
                <w:szCs w:val="22"/>
              </w:rPr>
            </w:pPr>
            <w:r>
              <w:rPr>
                <w:sz w:val="22"/>
                <w:szCs w:val="22"/>
              </w:rPr>
              <w:t>Disadvantaged children will be prioritised for after school clubs</w:t>
            </w:r>
          </w:p>
          <w:p w14:paraId="2A7D550B" w14:textId="3FD479AC" w:rsidR="00F21177" w:rsidRDefault="00F21177" w:rsidP="00F21177">
            <w:pPr>
              <w:pStyle w:val="TableRowCentered"/>
              <w:numPr>
                <w:ilvl w:val="0"/>
                <w:numId w:val="19"/>
              </w:numPr>
              <w:jc w:val="left"/>
              <w:rPr>
                <w:sz w:val="22"/>
                <w:szCs w:val="22"/>
              </w:rPr>
            </w:pPr>
            <w:r>
              <w:rPr>
                <w:sz w:val="22"/>
                <w:szCs w:val="22"/>
              </w:rPr>
              <w:t>All will attend school trips to widen their experiences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04FC60" w:rsidR="00E66558" w:rsidRPr="00DF600C" w:rsidRDefault="009D71E8">
      <w:r>
        <w:t xml:space="preserve">Budgeted cost: £ </w:t>
      </w:r>
      <w:r w:rsidR="00380848">
        <w:rPr>
          <w:iCs/>
        </w:rPr>
        <w:t>26,620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C438967" w:rsidR="00E66558" w:rsidRDefault="00BF4A8F">
            <w:pPr>
              <w:pStyle w:val="TableRow"/>
            </w:pPr>
            <w:r w:rsidRPr="00B07271">
              <w:rPr>
                <w:sz w:val="22"/>
              </w:rPr>
              <w:t>Effective deployment of TAs to support quality first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F4507E2" w:rsidR="00E66558" w:rsidRDefault="00BF4A8F">
            <w:pPr>
              <w:pStyle w:val="TableRowCentered"/>
              <w:jc w:val="left"/>
              <w:rPr>
                <w:sz w:val="22"/>
              </w:rPr>
            </w:pPr>
            <w:r w:rsidRPr="00B07271">
              <w:rPr>
                <w:sz w:val="22"/>
              </w:rPr>
              <w:t>A</w:t>
            </w:r>
            <w:r w:rsidRPr="00B07271">
              <w:rPr>
                <w:sz w:val="22"/>
              </w:rPr>
              <w:t>dditional adult allows the teacher to work with targeted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0D7AF7C" w:rsidR="00E66558" w:rsidRDefault="00BF4A8F">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2E62A45" w:rsidR="00E66558" w:rsidRPr="00BF4A8F" w:rsidRDefault="00BF4A8F">
            <w:pPr>
              <w:pStyle w:val="TableRow"/>
              <w:rPr>
                <w:sz w:val="22"/>
              </w:rPr>
            </w:pPr>
            <w:r>
              <w:rPr>
                <w:sz w:val="22"/>
              </w:rPr>
              <w:t xml:space="preserve">Purchase of </w:t>
            </w:r>
            <w:r w:rsidR="00B07271">
              <w:rPr>
                <w:sz w:val="22"/>
              </w:rPr>
              <w:t>standardised diagnostic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9E6F" w14:textId="77777777" w:rsidR="00E66558" w:rsidRDefault="00B07271">
            <w:pPr>
              <w:pStyle w:val="TableRowCentered"/>
              <w:jc w:val="left"/>
              <w:rPr>
                <w:sz w:val="22"/>
              </w:rPr>
            </w:pPr>
            <w:r>
              <w:rPr>
                <w:sz w:val="22"/>
              </w:rPr>
              <w:t>Tests can provide reliable insights into the specific strengths and weaknesses of each pupil to help ensure they receive the correct additional support through interventions or teacher instruction</w:t>
            </w:r>
          </w:p>
          <w:p w14:paraId="2A7D551F" w14:textId="4C9E94CF" w:rsidR="00B07271" w:rsidRDefault="00B07271">
            <w:pPr>
              <w:pStyle w:val="TableRowCentered"/>
              <w:jc w:val="left"/>
              <w:rPr>
                <w:sz w:val="22"/>
              </w:rPr>
            </w:pPr>
            <w:r>
              <w:rPr>
                <w:sz w:val="22"/>
              </w:rPr>
              <w:t>EEF – Assessment and monitoring pupil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247A832" w:rsidR="00B07271" w:rsidRDefault="00B07271">
            <w:pPr>
              <w:pStyle w:val="TableRowCentered"/>
              <w:jc w:val="left"/>
              <w:rPr>
                <w:sz w:val="22"/>
              </w:rPr>
            </w:pPr>
            <w:r>
              <w:rPr>
                <w:sz w:val="22"/>
              </w:rPr>
              <w:t>1,2</w:t>
            </w:r>
          </w:p>
          <w:p w14:paraId="766ECECA" w14:textId="77777777" w:rsidR="00B07271" w:rsidRPr="00B07271" w:rsidRDefault="00B07271" w:rsidP="00B07271"/>
          <w:p w14:paraId="320C4E19" w14:textId="3389FB2A" w:rsidR="00B07271" w:rsidRDefault="00B07271" w:rsidP="00B07271"/>
          <w:p w14:paraId="4F753D51" w14:textId="77777777" w:rsidR="00E66558" w:rsidRPr="00B07271" w:rsidRDefault="00E66558" w:rsidP="00B07271"/>
        </w:tc>
      </w:tr>
      <w:tr w:rsidR="00B07271" w14:paraId="3CA120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9A6B5" w14:textId="64E92FC6" w:rsidR="00B07271" w:rsidRDefault="00B07271">
            <w:pPr>
              <w:pStyle w:val="TableRow"/>
              <w:rPr>
                <w:sz w:val="22"/>
              </w:rPr>
            </w:pPr>
            <w:r>
              <w:rPr>
                <w:sz w:val="22"/>
              </w:rPr>
              <w:t>Enhancement of our Wider curriculum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43FE" w14:textId="5495AF3F" w:rsidR="00B07271" w:rsidRDefault="00B07271">
            <w:pPr>
              <w:pStyle w:val="TableRowCentered"/>
              <w:jc w:val="left"/>
              <w:rPr>
                <w:sz w:val="22"/>
              </w:rPr>
            </w:pPr>
            <w:r>
              <w:rPr>
                <w:sz w:val="22"/>
              </w:rPr>
              <w:t>Delivery of a broad and balanced curriculum that provides a progressive learning journey for all.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66A1A" w14:textId="435C1933" w:rsidR="00B07271" w:rsidRDefault="00B07271">
            <w:pPr>
              <w:pStyle w:val="TableRowCentered"/>
              <w:jc w:val="left"/>
              <w:rPr>
                <w:sz w:val="22"/>
              </w:rPr>
            </w:pPr>
            <w:r>
              <w:rPr>
                <w:sz w:val="22"/>
              </w:rPr>
              <w:t>1,2</w:t>
            </w:r>
          </w:p>
        </w:tc>
      </w:tr>
      <w:tr w:rsidR="00B07271" w14:paraId="5ED236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F172C" w14:textId="26F01D04" w:rsidR="00B07271" w:rsidRDefault="00B07271">
            <w:pPr>
              <w:pStyle w:val="TableRow"/>
              <w:rPr>
                <w:sz w:val="22"/>
              </w:rPr>
            </w:pPr>
            <w:r>
              <w:rPr>
                <w:sz w:val="22"/>
              </w:rPr>
              <w:t>Upskilling middle leaders to lead on delivery of new wider curriculum plus training for all class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A4A6" w14:textId="77777777" w:rsidR="00B07271" w:rsidRDefault="00B07271" w:rsidP="00B07271">
            <w:pPr>
              <w:pStyle w:val="TableRowCentered"/>
              <w:jc w:val="left"/>
              <w:rPr>
                <w:sz w:val="22"/>
              </w:rPr>
            </w:pPr>
            <w:r>
              <w:rPr>
                <w:sz w:val="22"/>
              </w:rPr>
              <w:t>Teachers to engage with the most up to date thinking utilising the experts available</w:t>
            </w:r>
          </w:p>
          <w:p w14:paraId="5A98CD32" w14:textId="1AEF539E" w:rsidR="00B07271" w:rsidRDefault="00B07271" w:rsidP="00B07271">
            <w:pPr>
              <w:pStyle w:val="TableRowCentered"/>
              <w:jc w:val="left"/>
              <w:rPr>
                <w:sz w:val="22"/>
              </w:rPr>
            </w:pPr>
            <w:r>
              <w:rPr>
                <w:sz w:val="22"/>
              </w:rPr>
              <w:t>EEF T and L toolkit – teacher knowledge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EBAE" w14:textId="09171C1F" w:rsidR="00B07271" w:rsidRDefault="00B07271">
            <w:pPr>
              <w:pStyle w:val="TableRowCentered"/>
              <w:jc w:val="left"/>
              <w:rPr>
                <w:sz w:val="22"/>
              </w:rPr>
            </w:pPr>
            <w:r>
              <w:rPr>
                <w:sz w:val="22"/>
              </w:rPr>
              <w:t>1,2</w:t>
            </w:r>
          </w:p>
        </w:tc>
      </w:tr>
      <w:tr w:rsidR="00B07271" w14:paraId="5D969B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F1F5" w14:textId="4350DAC5" w:rsidR="00B07271" w:rsidRDefault="00B07271">
            <w:pPr>
              <w:pStyle w:val="TableRow"/>
              <w:rPr>
                <w:sz w:val="22"/>
              </w:rPr>
            </w:pPr>
            <w:r>
              <w:rPr>
                <w:sz w:val="22"/>
              </w:rPr>
              <w:t>Embedding the delivery of the new phonics scheme and induction training for new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6036" w14:textId="77777777" w:rsidR="00B07271" w:rsidRDefault="00B07271" w:rsidP="00B07271">
            <w:pPr>
              <w:pStyle w:val="TableRowCentered"/>
              <w:jc w:val="left"/>
              <w:rPr>
                <w:sz w:val="22"/>
              </w:rPr>
            </w:pPr>
            <w:r>
              <w:rPr>
                <w:sz w:val="22"/>
              </w:rPr>
              <w:t>Phonics approaches have a strong evidence base that indicates a positive impact on the accuracy of word reading particularly for disadvantaged pupils.</w:t>
            </w:r>
          </w:p>
          <w:p w14:paraId="529215E6" w14:textId="6B0CDA7A" w:rsidR="00B07271" w:rsidRDefault="00B07271" w:rsidP="00B07271">
            <w:pPr>
              <w:pStyle w:val="TableRowCentered"/>
              <w:jc w:val="left"/>
              <w:rPr>
                <w:sz w:val="22"/>
              </w:rPr>
            </w:pPr>
            <w:r>
              <w:rPr>
                <w:sz w:val="22"/>
              </w:rPr>
              <w:t>Phonics Toolkit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06D9" w14:textId="71F5D1C6" w:rsidR="00B07271" w:rsidRDefault="00B07271">
            <w:pPr>
              <w:pStyle w:val="TableRowCentered"/>
              <w:jc w:val="left"/>
              <w:rPr>
                <w:sz w:val="22"/>
              </w:rPr>
            </w:pPr>
            <w:r>
              <w:rPr>
                <w:sz w:val="22"/>
              </w:rPr>
              <w:t>1,2</w:t>
            </w:r>
          </w:p>
        </w:tc>
      </w:tr>
      <w:tr w:rsidR="00B07271" w14:paraId="76E9D9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1F78" w14:textId="77777777" w:rsidR="00B07271" w:rsidRDefault="003A27D0">
            <w:pPr>
              <w:pStyle w:val="TableRow"/>
              <w:rPr>
                <w:sz w:val="22"/>
              </w:rPr>
            </w:pPr>
            <w:r>
              <w:rPr>
                <w:sz w:val="22"/>
              </w:rPr>
              <w:t>Specialist SALT appointed to address gaps and provide CPD for teachers and TAs</w:t>
            </w:r>
          </w:p>
          <w:p w14:paraId="1FE121D0" w14:textId="2E0A6312" w:rsidR="003A27D0" w:rsidRDefault="003A27D0">
            <w:pPr>
              <w:pStyle w:val="TableRow"/>
              <w:rPr>
                <w:sz w:val="22"/>
              </w:rPr>
            </w:pPr>
            <w:r>
              <w:rPr>
                <w:sz w:val="22"/>
              </w:rPr>
              <w:t>(</w:t>
            </w:r>
            <w:r w:rsidRPr="003A27D0">
              <w:rPr>
                <w:i/>
                <w:sz w:val="22"/>
              </w:rPr>
              <w:t>supply costs £82 per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E6C1" w14:textId="57A08FFD" w:rsidR="00B07271" w:rsidRDefault="003A27D0" w:rsidP="003A27D0">
            <w:pPr>
              <w:pStyle w:val="TableRowCentered"/>
              <w:jc w:val="left"/>
              <w:rPr>
                <w:sz w:val="22"/>
              </w:rPr>
            </w:pPr>
            <w:r>
              <w:rPr>
                <w:sz w:val="22"/>
              </w:rPr>
              <w:t>Children need to be able to have clear speech, language and communications skills in order to access quality first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4ACF" w14:textId="79725AB2" w:rsidR="00B07271" w:rsidRDefault="003A27D0">
            <w:pPr>
              <w:pStyle w:val="TableRowCentered"/>
              <w:jc w:val="left"/>
              <w:rPr>
                <w:sz w:val="22"/>
              </w:rPr>
            </w:pPr>
            <w:r>
              <w:rPr>
                <w:sz w:val="22"/>
              </w:rPr>
              <w:t>1,2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D7562BE" w:rsidR="00E66558" w:rsidRPr="00B35445" w:rsidRDefault="009D71E8">
      <w:r>
        <w:t xml:space="preserve">Budgeted cost: £ </w:t>
      </w:r>
      <w:r w:rsidR="006E493C">
        <w:t>22,017.00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36AE45A" w:rsidR="00E66558" w:rsidRPr="00B35445" w:rsidRDefault="00B35445">
            <w:pPr>
              <w:pStyle w:val="TableRow"/>
            </w:pPr>
            <w:r>
              <w:t>Additional phonics sessions targeted at disadvantaged pupils who require further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F426" w14:textId="77777777" w:rsidR="00E66558" w:rsidRDefault="00B35445">
            <w:pPr>
              <w:pStyle w:val="TableRowCentered"/>
              <w:jc w:val="left"/>
              <w:rPr>
                <w:sz w:val="22"/>
              </w:rPr>
            </w:pPr>
            <w:r>
              <w:rPr>
                <w:sz w:val="22"/>
              </w:rPr>
              <w:t>Extra interventions allows lower phonics achievers to catch up in relation to ARE</w:t>
            </w:r>
          </w:p>
          <w:p w14:paraId="2A7D552A" w14:textId="196EAB7B" w:rsidR="00B35445" w:rsidRDefault="00B35445">
            <w:pPr>
              <w:pStyle w:val="TableRowCentered"/>
              <w:jc w:val="left"/>
              <w:rPr>
                <w:sz w:val="22"/>
              </w:rPr>
            </w:pPr>
            <w:r>
              <w:rPr>
                <w:sz w:val="22"/>
              </w:rPr>
              <w:t>To sustain high phonics results.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2DD197" w:rsidR="00E66558" w:rsidRDefault="00B35445">
            <w:pPr>
              <w:pStyle w:val="TableRowCentered"/>
              <w:jc w:val="left"/>
              <w:rPr>
                <w:sz w:val="22"/>
              </w:rPr>
            </w:pPr>
            <w:r>
              <w:rPr>
                <w:sz w:val="22"/>
              </w:rPr>
              <w:t>1,2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514B1CC" w:rsidR="00E66558" w:rsidRPr="00B35445" w:rsidRDefault="00B35445">
            <w:pPr>
              <w:pStyle w:val="TableRow"/>
              <w:rPr>
                <w:sz w:val="22"/>
              </w:rPr>
            </w:pPr>
            <w:r>
              <w:rPr>
                <w:sz w:val="22"/>
              </w:rPr>
              <w:t>Wellcomm screening for those entering early years – targeted support for those new to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D065" w14:textId="77777777" w:rsidR="00E66558" w:rsidRDefault="00B35445">
            <w:pPr>
              <w:pStyle w:val="TableRowCentered"/>
              <w:jc w:val="left"/>
              <w:rPr>
                <w:sz w:val="22"/>
              </w:rPr>
            </w:pPr>
            <w:r>
              <w:rPr>
                <w:sz w:val="22"/>
              </w:rPr>
              <w:t>It identifies gaps or difficulties that will then in turn provide interventions to plug those gaps.</w:t>
            </w:r>
          </w:p>
          <w:p w14:paraId="2A7D552E" w14:textId="33F321B9" w:rsidR="00B35445" w:rsidRDefault="00B35445">
            <w:pPr>
              <w:pStyle w:val="TableRowCentered"/>
              <w:jc w:val="left"/>
              <w:rPr>
                <w:sz w:val="22"/>
              </w:rPr>
            </w:pPr>
            <w:r>
              <w:rPr>
                <w:sz w:val="22"/>
              </w:rPr>
              <w:t>Approaches that focus on speaking and listening and a combination of the two show positive impact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48BC22" w:rsidR="00E66558" w:rsidRDefault="00B35445">
            <w:pPr>
              <w:pStyle w:val="TableRowCentered"/>
              <w:jc w:val="left"/>
              <w:rPr>
                <w:sz w:val="22"/>
              </w:rPr>
            </w:pPr>
            <w:r>
              <w:rPr>
                <w:sz w:val="22"/>
              </w:rPr>
              <w:t>1,2</w:t>
            </w:r>
          </w:p>
        </w:tc>
      </w:tr>
      <w:tr w:rsidR="00EB6CFB" w14:paraId="681814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DD4B" w14:textId="680556C0" w:rsidR="00EB6CFB" w:rsidRDefault="00EB6CFB">
            <w:pPr>
              <w:pStyle w:val="TableRow"/>
              <w:rPr>
                <w:sz w:val="22"/>
              </w:rPr>
            </w:pPr>
            <w:r>
              <w:rPr>
                <w:sz w:val="22"/>
              </w:rPr>
              <w:t>Support for pupils with Social, emotional and behavioural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22618" w14:textId="2F77D4DB" w:rsidR="00EB6CFB" w:rsidRDefault="00EB6CFB">
            <w:pPr>
              <w:pStyle w:val="TableRowCentered"/>
              <w:jc w:val="left"/>
              <w:rPr>
                <w:sz w:val="22"/>
              </w:rPr>
            </w:pPr>
            <w:r>
              <w:rPr>
                <w:sz w:val="22"/>
              </w:rPr>
              <w:t>Children with social and emotional needs have a safe space during breaks enabling them to engage effectively in their learning in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21C2" w14:textId="72955C3B" w:rsidR="00EB6CFB" w:rsidRDefault="00EB6CFB">
            <w:pPr>
              <w:pStyle w:val="TableRowCentered"/>
              <w:jc w:val="left"/>
              <w:rPr>
                <w:sz w:val="22"/>
              </w:rPr>
            </w:pPr>
            <w:r>
              <w:rPr>
                <w:sz w:val="22"/>
              </w:rPr>
              <w:t>1,2,3</w:t>
            </w:r>
          </w:p>
        </w:tc>
      </w:tr>
      <w:tr w:rsidR="00EB6CFB" w14:paraId="63F513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2491" w14:textId="77777777" w:rsidR="00EB6CFB" w:rsidRDefault="00EB6CFB">
            <w:pPr>
              <w:pStyle w:val="TableRow"/>
              <w:rPr>
                <w:sz w:val="22"/>
              </w:rPr>
            </w:pPr>
            <w:r>
              <w:rPr>
                <w:sz w:val="22"/>
              </w:rPr>
              <w:t>Structured interventions to identify those falling behind.</w:t>
            </w:r>
          </w:p>
          <w:p w14:paraId="0534505D" w14:textId="77777777" w:rsidR="00EB6CFB" w:rsidRDefault="00EB6CFB">
            <w:pPr>
              <w:pStyle w:val="TableRow"/>
              <w:rPr>
                <w:sz w:val="22"/>
              </w:rPr>
            </w:pPr>
            <w:r>
              <w:rPr>
                <w:sz w:val="22"/>
              </w:rPr>
              <w:t>Resources to support TAs in their delivery</w:t>
            </w:r>
          </w:p>
          <w:p w14:paraId="776C74F4" w14:textId="174BD5D5" w:rsidR="00EB6CFB" w:rsidRDefault="00EB6CFB">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B538" w14:textId="410658D4" w:rsidR="00EB6CFB" w:rsidRDefault="006E493C">
            <w:pPr>
              <w:pStyle w:val="TableRowCentered"/>
              <w:jc w:val="left"/>
              <w:rPr>
                <w:sz w:val="22"/>
              </w:rPr>
            </w:pPr>
            <w:r>
              <w:rPr>
                <w:sz w:val="22"/>
              </w:rPr>
              <w:t>Small teaching groups that allows early intervention to prevent gaps widening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F37F" w14:textId="362A576A" w:rsidR="00EB6CFB" w:rsidRDefault="006E493C">
            <w:pPr>
              <w:pStyle w:val="TableRowCentered"/>
              <w:jc w:val="left"/>
              <w:rPr>
                <w:sz w:val="22"/>
              </w:rPr>
            </w:pPr>
            <w:r>
              <w:rPr>
                <w:sz w:val="22"/>
              </w:rPr>
              <w:t>1,2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1DB814E" w:rsidR="00E66558" w:rsidRPr="00724DB9" w:rsidRDefault="009D71E8">
      <w:pPr>
        <w:spacing w:before="240" w:after="120"/>
      </w:pPr>
      <w:r>
        <w:t xml:space="preserve">Budgeted cost: £ </w:t>
      </w:r>
      <w:r w:rsidR="00900E44">
        <w:rPr>
          <w:iCs/>
        </w:rPr>
        <w:t>10,750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90892" w14:textId="77777777" w:rsidR="00724DB9" w:rsidRDefault="00724DB9">
            <w:pPr>
              <w:pStyle w:val="TableRow"/>
              <w:rPr>
                <w:iCs/>
                <w:sz w:val="22"/>
                <w:szCs w:val="22"/>
              </w:rPr>
            </w:pPr>
            <w:r>
              <w:rPr>
                <w:iCs/>
                <w:sz w:val="22"/>
                <w:szCs w:val="22"/>
              </w:rPr>
              <w:t>Improve attendance for disadvantaged children</w:t>
            </w:r>
          </w:p>
          <w:p w14:paraId="3C9F0BE7" w14:textId="1694B1A0" w:rsidR="00724DB9" w:rsidRDefault="00724DB9">
            <w:pPr>
              <w:pStyle w:val="TableRow"/>
              <w:rPr>
                <w:iCs/>
                <w:sz w:val="22"/>
                <w:szCs w:val="22"/>
              </w:rPr>
            </w:pPr>
            <w:r>
              <w:rPr>
                <w:iCs/>
                <w:sz w:val="22"/>
                <w:szCs w:val="22"/>
              </w:rPr>
              <w:t>-Attendance officer to attend termly to analyse data and contact Pas</w:t>
            </w:r>
          </w:p>
          <w:p w14:paraId="2F593341" w14:textId="0D510BCB" w:rsidR="00724DB9" w:rsidRDefault="00724DB9">
            <w:pPr>
              <w:pStyle w:val="TableRow"/>
              <w:rPr>
                <w:iCs/>
                <w:sz w:val="22"/>
                <w:szCs w:val="22"/>
              </w:rPr>
            </w:pPr>
            <w:r>
              <w:rPr>
                <w:iCs/>
                <w:sz w:val="22"/>
                <w:szCs w:val="22"/>
              </w:rPr>
              <w:t>- Robust monitoring systems in place to build positive relationships with identified families</w:t>
            </w:r>
          </w:p>
          <w:p w14:paraId="49E8D938" w14:textId="77777777" w:rsidR="00E66558" w:rsidRDefault="00724DB9">
            <w:pPr>
              <w:pStyle w:val="TableRow"/>
              <w:rPr>
                <w:iCs/>
                <w:sz w:val="22"/>
                <w:szCs w:val="22"/>
              </w:rPr>
            </w:pPr>
            <w:r>
              <w:rPr>
                <w:iCs/>
                <w:sz w:val="22"/>
                <w:szCs w:val="22"/>
              </w:rPr>
              <w:t xml:space="preserve">- </w:t>
            </w:r>
            <w:r w:rsidR="006E493C">
              <w:rPr>
                <w:iCs/>
                <w:sz w:val="22"/>
                <w:szCs w:val="22"/>
              </w:rPr>
              <w:t xml:space="preserve"> </w:t>
            </w:r>
            <w:r>
              <w:rPr>
                <w:iCs/>
                <w:sz w:val="22"/>
                <w:szCs w:val="22"/>
              </w:rPr>
              <w:t>Most improved attendance awards and weekly winners celebrated</w:t>
            </w:r>
          </w:p>
          <w:p w14:paraId="2A7D5538" w14:textId="21ABAFFE" w:rsidR="00724DB9" w:rsidRPr="006E493C" w:rsidRDefault="00724DB9">
            <w:pPr>
              <w:pStyle w:val="TableRow"/>
            </w:pPr>
            <w:r>
              <w:rPr>
                <w:iCs/>
                <w:sz w:val="22"/>
                <w:szCs w:val="22"/>
              </w:rPr>
              <w:t>- prizes across year groups for positive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BC72144" w:rsidR="00E66558" w:rsidRDefault="00724DB9">
            <w:pPr>
              <w:pStyle w:val="TableRowCentered"/>
              <w:jc w:val="left"/>
              <w:rPr>
                <w:sz w:val="22"/>
              </w:rPr>
            </w:pPr>
            <w:r>
              <w:rPr>
                <w:sz w:val="22"/>
              </w:rPr>
              <w:t>EEF T and L toolkit parent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DB7AA65" w:rsidR="00E66558" w:rsidRDefault="00724DB9">
            <w:pPr>
              <w:pStyle w:val="TableRowCentered"/>
              <w:jc w:val="left"/>
              <w:rPr>
                <w:sz w:val="22"/>
              </w:rPr>
            </w:pPr>
            <w:r>
              <w:rPr>
                <w:sz w:val="22"/>
              </w:rPr>
              <w:t>1,2,3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14C0" w14:textId="77777777" w:rsidR="00E66558" w:rsidRDefault="00724DB9">
            <w:pPr>
              <w:pStyle w:val="TableRow"/>
              <w:rPr>
                <w:sz w:val="22"/>
              </w:rPr>
            </w:pPr>
            <w:r>
              <w:rPr>
                <w:sz w:val="22"/>
              </w:rPr>
              <w:t>Embedding principles of good practice set out in the DfE’s Improving Attendance advice</w:t>
            </w:r>
          </w:p>
          <w:p w14:paraId="5AF159C9" w14:textId="77777777" w:rsidR="00724DB9" w:rsidRDefault="00724DB9">
            <w:pPr>
              <w:pStyle w:val="TableRow"/>
              <w:rPr>
                <w:sz w:val="22"/>
              </w:rPr>
            </w:pPr>
          </w:p>
          <w:p w14:paraId="2A7D553C" w14:textId="5FF5526B" w:rsidR="00724DB9" w:rsidRPr="00724DB9" w:rsidRDefault="00724DB9">
            <w:pPr>
              <w:pStyle w:val="TableRow"/>
              <w:rPr>
                <w:sz w:val="22"/>
              </w:rPr>
            </w:pPr>
            <w:r>
              <w:rPr>
                <w:sz w:val="22"/>
              </w:rPr>
              <w:t>This will involve training and release time for the school to develop and implement new and existing procedures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149487C" w:rsidR="00E66558" w:rsidRDefault="00724DB9">
            <w:pPr>
              <w:pStyle w:val="TableRowCentered"/>
              <w:jc w:val="left"/>
              <w:rPr>
                <w:sz w:val="22"/>
              </w:rPr>
            </w:pPr>
            <w:r>
              <w:rPr>
                <w:sz w:val="22"/>
              </w:rPr>
              <w:t>Data shows the strong correlation between poor attendance and underachievement.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41E9189" w:rsidR="00E66558" w:rsidRDefault="00724DB9">
            <w:pPr>
              <w:pStyle w:val="TableRowCentered"/>
              <w:jc w:val="left"/>
              <w:rPr>
                <w:sz w:val="22"/>
              </w:rPr>
            </w:pPr>
            <w:r>
              <w:rPr>
                <w:sz w:val="22"/>
              </w:rPr>
              <w:t>1,3</w:t>
            </w:r>
          </w:p>
        </w:tc>
      </w:tr>
      <w:tr w:rsidR="00724DB9" w14:paraId="1E63F5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968B" w14:textId="77777777" w:rsidR="00724DB9" w:rsidRDefault="00724DB9">
            <w:pPr>
              <w:pStyle w:val="TableRow"/>
              <w:rPr>
                <w:sz w:val="22"/>
              </w:rPr>
            </w:pPr>
            <w:r>
              <w:rPr>
                <w:sz w:val="22"/>
              </w:rPr>
              <w:t>Funding support for school trips and residentials</w:t>
            </w:r>
          </w:p>
          <w:p w14:paraId="2736F493" w14:textId="77777777" w:rsidR="00036276" w:rsidRDefault="00036276">
            <w:pPr>
              <w:pStyle w:val="TableRow"/>
              <w:rPr>
                <w:sz w:val="22"/>
              </w:rPr>
            </w:pPr>
          </w:p>
          <w:p w14:paraId="7B3B1690" w14:textId="0C83088B" w:rsidR="00036276" w:rsidRDefault="00036276">
            <w:pPr>
              <w:pStyle w:val="TableRow"/>
              <w:rPr>
                <w:sz w:val="22"/>
              </w:rPr>
            </w:pPr>
            <w:r>
              <w:rPr>
                <w:sz w:val="22"/>
              </w:rPr>
              <w:t>Funding of places in extracurricular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840E" w14:textId="7A12B81B" w:rsidR="00036276" w:rsidRDefault="00036276">
            <w:pPr>
              <w:pStyle w:val="TableRowCentered"/>
              <w:jc w:val="left"/>
              <w:rPr>
                <w:sz w:val="22"/>
              </w:rPr>
            </w:pPr>
            <w:r>
              <w:rPr>
                <w:sz w:val="22"/>
              </w:rPr>
              <w:t>Enabling children to share in experiences with their peers</w:t>
            </w:r>
          </w:p>
          <w:p w14:paraId="40FA35AF" w14:textId="77777777" w:rsidR="00724DB9" w:rsidRDefault="00724DB9" w:rsidP="00036276"/>
          <w:p w14:paraId="3B2DDBFF" w14:textId="39727888" w:rsidR="00036276" w:rsidRPr="00036276" w:rsidRDefault="00036276" w:rsidP="00036276">
            <w:r w:rsidRPr="00036276">
              <w:rPr>
                <w:sz w:val="22"/>
              </w:rPr>
              <w:t>Children can be encouraged to participate in clubs to support development of self-confidence and promote mental well 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DCBC" w14:textId="404698E5" w:rsidR="00724DB9" w:rsidRDefault="0043535D">
            <w:pPr>
              <w:pStyle w:val="TableRowCentered"/>
              <w:jc w:val="left"/>
              <w:rPr>
                <w:sz w:val="22"/>
              </w:rPr>
            </w:pPr>
            <w:r>
              <w:rPr>
                <w:sz w:val="22"/>
              </w:rPr>
              <w:t>1,3</w:t>
            </w:r>
          </w:p>
        </w:tc>
      </w:tr>
    </w:tbl>
    <w:p w14:paraId="2A7D5540" w14:textId="77777777" w:rsidR="00E66558" w:rsidRDefault="00E66558">
      <w:pPr>
        <w:spacing w:before="240" w:after="0"/>
        <w:rPr>
          <w:b/>
          <w:bCs/>
          <w:color w:val="104F75"/>
          <w:sz w:val="28"/>
          <w:szCs w:val="28"/>
        </w:rPr>
      </w:pPr>
    </w:p>
    <w:p w14:paraId="2A7D5541" w14:textId="72B0EC19" w:rsidR="00E66558" w:rsidRPr="00900E44" w:rsidRDefault="009D71E8" w:rsidP="00120AB1">
      <w:r>
        <w:rPr>
          <w:b/>
          <w:bCs/>
          <w:color w:val="104F75"/>
          <w:sz w:val="28"/>
          <w:szCs w:val="28"/>
        </w:rPr>
        <w:t xml:space="preserve">Total budgeted cost: £ </w:t>
      </w:r>
      <w:r w:rsidR="00900E44">
        <w:rPr>
          <w:b/>
          <w:bCs/>
          <w:color w:val="104F75"/>
          <w:sz w:val="28"/>
          <w:szCs w:val="28"/>
        </w:rPr>
        <w:t>59,387.00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71C14E" w14:textId="77777777" w:rsidR="00173D4C" w:rsidRDefault="00DF600C" w:rsidP="00EB09BC">
            <w:pPr>
              <w:rPr>
                <w:iCs/>
                <w:lang w:eastAsia="en-US"/>
              </w:rPr>
            </w:pPr>
            <w:r>
              <w:rPr>
                <w:iCs/>
                <w:lang w:eastAsia="en-US"/>
              </w:rPr>
              <w:t>We have analysed the performance of our school’s disadvantaged pupils during the 2021/22 academic year using key stage 1 and 2 performance data, phonics check results and our own internal assessments.</w:t>
            </w:r>
          </w:p>
          <w:p w14:paraId="04DCCBDD" w14:textId="77777777" w:rsidR="00DF600C" w:rsidRDefault="00DF600C" w:rsidP="00EB09BC">
            <w:pPr>
              <w:rPr>
                <w:iCs/>
                <w:lang w:eastAsia="en-US"/>
              </w:rPr>
            </w:pPr>
            <w:r>
              <w:rPr>
                <w:iCs/>
                <w:lang w:eastAsia="en-US"/>
              </w:rPr>
              <w:t>Schools are not required to publish their 2022 key stage 2 results as the DFE is not publishing this data.  This is because statutory assessments returned for the first time since 2019, without adaptations, after disruption caused by the pandemic.  This is a transitional arrangement for one year only, and the DfE plans to publish key stage 2 school performance data for 2023.</w:t>
            </w:r>
          </w:p>
          <w:p w14:paraId="57EA9AB3" w14:textId="77777777" w:rsidR="00CB37CB" w:rsidRPr="00837F53" w:rsidRDefault="00CB37CB" w:rsidP="00CB37CB">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3CC2BB79" w14:textId="5D762B24" w:rsidR="00CB37CB" w:rsidRDefault="00CB37CB" w:rsidP="00CB37CB">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1961F24D" w14:textId="7CABA04B" w:rsidR="008D749C" w:rsidRDefault="008D749C" w:rsidP="00CB37CB">
            <w:pPr>
              <w:autoSpaceDN/>
              <w:spacing w:before="120"/>
              <w:rPr>
                <w:color w:val="auto"/>
                <w:lang w:eastAsia="en-US"/>
              </w:rPr>
            </w:pPr>
            <w:r>
              <w:rPr>
                <w:color w:val="auto"/>
                <w:lang w:eastAsia="en-US"/>
              </w:rPr>
              <w:t xml:space="preserve">Data from tests and assessments suggest that </w:t>
            </w:r>
            <w:r w:rsidR="00FE7B91">
              <w:rPr>
                <w:color w:val="auto"/>
                <w:lang w:eastAsia="en-US"/>
              </w:rPr>
              <w:t>the progress of our disadvantaged pupils was slightly below the ARE.  Our analysis shows that the reason for this is likely the initial and sustained impact of Covid 19.  However, some of our approaches to support outcomes for pupils have had an impact on narrowing the gap such as targeted interventions.</w:t>
            </w:r>
          </w:p>
          <w:p w14:paraId="5F3149D1" w14:textId="313BA3E5" w:rsidR="00FE7B91" w:rsidRDefault="00FE7B91" w:rsidP="00CB37CB">
            <w:pPr>
              <w:autoSpaceDN/>
              <w:spacing w:before="120"/>
              <w:rPr>
                <w:color w:val="auto"/>
                <w:lang w:eastAsia="en-US"/>
              </w:rPr>
            </w:pPr>
            <w:r>
              <w:rPr>
                <w:color w:val="auto"/>
                <w:lang w:eastAsia="en-US"/>
              </w:rPr>
              <w:t>For some families the pandemic seems to have normalised habitual absences and we can see clear links between low achievement and low family expectations.  This also includes some of the families that experience a disrupted home life for example some families with shared parental care over different addresses.</w:t>
            </w:r>
          </w:p>
          <w:p w14:paraId="580B43AF" w14:textId="6A39C90E" w:rsidR="00900E44" w:rsidRDefault="0048746E" w:rsidP="00CB37CB">
            <w:pPr>
              <w:autoSpaceDN/>
              <w:spacing w:before="120"/>
              <w:rPr>
                <w:color w:val="auto"/>
                <w:lang w:eastAsia="en-US"/>
              </w:rPr>
            </w:pPr>
            <w:r>
              <w:rPr>
                <w:color w:val="auto"/>
                <w:lang w:eastAsia="en-US"/>
              </w:rPr>
              <w:t xml:space="preserve">Absence amongst disadvantaged pupils is slightly higher than their peers.  </w:t>
            </w:r>
            <w:r w:rsidR="00ED33E7">
              <w:rPr>
                <w:color w:val="auto"/>
                <w:lang w:eastAsia="en-US"/>
              </w:rPr>
              <w:t>We recognise that low attendance links to low attainment and this gap needs to be addressed.  This is why raising the attendance of our disadvantaged pupils and decreasing our PA is a clear focus of our current plan</w:t>
            </w:r>
            <w:r w:rsidR="00811898">
              <w:rPr>
                <w:color w:val="auto"/>
                <w:lang w:eastAsia="en-US"/>
              </w:rPr>
              <w:t>.</w:t>
            </w:r>
            <w:bookmarkStart w:id="17" w:name="_GoBack"/>
            <w:bookmarkEnd w:id="17"/>
            <w:r>
              <w:rPr>
                <w:color w:val="auto"/>
                <w:lang w:eastAsia="en-US"/>
              </w:rPr>
              <w:t xml:space="preserve"> </w:t>
            </w:r>
          </w:p>
          <w:p w14:paraId="5023926C" w14:textId="56D357D1" w:rsidR="00DF600C" w:rsidRPr="00DF600C" w:rsidRDefault="00DF600C" w:rsidP="00EB09BC"/>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4834AE7" w:rsidR="00E66558" w:rsidRDefault="00900E44">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5B48A893" w14:textId="295B5A65"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3D510EB" w:rsidR="00C373EA" w:rsidRDefault="009D71E8">
    <w:pPr>
      <w:pStyle w:val="Footer"/>
      <w:ind w:firstLine="4513"/>
    </w:pPr>
    <w:r>
      <w:fldChar w:fldCharType="begin"/>
    </w:r>
    <w:r>
      <w:instrText xml:space="preserve"> PAGE </w:instrText>
    </w:r>
    <w:r>
      <w:fldChar w:fldCharType="separate"/>
    </w:r>
    <w:r w:rsidR="007957D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298"/>
    <w:multiLevelType w:val="hybridMultilevel"/>
    <w:tmpl w:val="FF6A0D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BB44D9"/>
    <w:multiLevelType w:val="hybridMultilevel"/>
    <w:tmpl w:val="F062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87111ED"/>
    <w:multiLevelType w:val="hybridMultilevel"/>
    <w:tmpl w:val="EF46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5B73034"/>
    <w:multiLevelType w:val="hybridMultilevel"/>
    <w:tmpl w:val="017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C41ED"/>
    <w:multiLevelType w:val="hybridMultilevel"/>
    <w:tmpl w:val="B880A9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D063D38"/>
    <w:multiLevelType w:val="hybridMultilevel"/>
    <w:tmpl w:val="A620A2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3"/>
  </w:num>
  <w:num w:numId="8">
    <w:abstractNumId w:val="18"/>
  </w:num>
  <w:num w:numId="9">
    <w:abstractNumId w:val="16"/>
  </w:num>
  <w:num w:numId="10">
    <w:abstractNumId w:val="14"/>
  </w:num>
  <w:num w:numId="11">
    <w:abstractNumId w:val="4"/>
  </w:num>
  <w:num w:numId="12">
    <w:abstractNumId w:val="17"/>
  </w:num>
  <w:num w:numId="13">
    <w:abstractNumId w:val="12"/>
  </w:num>
  <w:num w:numId="14">
    <w:abstractNumId w:val="8"/>
  </w:num>
  <w:num w:numId="15">
    <w:abstractNumId w:val="10"/>
  </w:num>
  <w:num w:numId="16">
    <w:abstractNumId w:val="2"/>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36276"/>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537"/>
    <w:rsid w:val="003576C4"/>
    <w:rsid w:val="00366AB0"/>
    <w:rsid w:val="0037437C"/>
    <w:rsid w:val="00380848"/>
    <w:rsid w:val="0038146B"/>
    <w:rsid w:val="0038340F"/>
    <w:rsid w:val="00384457"/>
    <w:rsid w:val="00384F24"/>
    <w:rsid w:val="003A27D0"/>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35D"/>
    <w:rsid w:val="00435A89"/>
    <w:rsid w:val="00452267"/>
    <w:rsid w:val="00453307"/>
    <w:rsid w:val="00457E36"/>
    <w:rsid w:val="00462F8F"/>
    <w:rsid w:val="00481D56"/>
    <w:rsid w:val="0048746E"/>
    <w:rsid w:val="00490408"/>
    <w:rsid w:val="004A4C45"/>
    <w:rsid w:val="004A54DA"/>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493C"/>
    <w:rsid w:val="006E6B4A"/>
    <w:rsid w:val="006E7449"/>
    <w:rsid w:val="006E7FB1"/>
    <w:rsid w:val="006F2604"/>
    <w:rsid w:val="006F5319"/>
    <w:rsid w:val="006F55FD"/>
    <w:rsid w:val="006F5D21"/>
    <w:rsid w:val="00711BE3"/>
    <w:rsid w:val="00724DB9"/>
    <w:rsid w:val="00724FA7"/>
    <w:rsid w:val="00725415"/>
    <w:rsid w:val="00727505"/>
    <w:rsid w:val="00731581"/>
    <w:rsid w:val="00741B9E"/>
    <w:rsid w:val="00743DAC"/>
    <w:rsid w:val="0075337B"/>
    <w:rsid w:val="00755CD4"/>
    <w:rsid w:val="00757F96"/>
    <w:rsid w:val="00785285"/>
    <w:rsid w:val="0078529D"/>
    <w:rsid w:val="00787DC1"/>
    <w:rsid w:val="00794070"/>
    <w:rsid w:val="007957DD"/>
    <w:rsid w:val="007A713B"/>
    <w:rsid w:val="007B64E5"/>
    <w:rsid w:val="007C2F04"/>
    <w:rsid w:val="007F5B8B"/>
    <w:rsid w:val="00811898"/>
    <w:rsid w:val="00817E9A"/>
    <w:rsid w:val="00830D57"/>
    <w:rsid w:val="00860B07"/>
    <w:rsid w:val="008616F6"/>
    <w:rsid w:val="0086259C"/>
    <w:rsid w:val="00883F24"/>
    <w:rsid w:val="00897E1F"/>
    <w:rsid w:val="008B2CB4"/>
    <w:rsid w:val="008B6404"/>
    <w:rsid w:val="008C2C21"/>
    <w:rsid w:val="008C7DD3"/>
    <w:rsid w:val="008D749C"/>
    <w:rsid w:val="008E000B"/>
    <w:rsid w:val="008E2926"/>
    <w:rsid w:val="008E35C6"/>
    <w:rsid w:val="008E3F49"/>
    <w:rsid w:val="008F243B"/>
    <w:rsid w:val="008F4675"/>
    <w:rsid w:val="00900E44"/>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C6A71"/>
    <w:rsid w:val="00AD7B5A"/>
    <w:rsid w:val="00AE229F"/>
    <w:rsid w:val="00AF5E20"/>
    <w:rsid w:val="00B002FA"/>
    <w:rsid w:val="00B00327"/>
    <w:rsid w:val="00B024B3"/>
    <w:rsid w:val="00B07271"/>
    <w:rsid w:val="00B11DE8"/>
    <w:rsid w:val="00B179ED"/>
    <w:rsid w:val="00B20E18"/>
    <w:rsid w:val="00B35445"/>
    <w:rsid w:val="00B572C4"/>
    <w:rsid w:val="00B60858"/>
    <w:rsid w:val="00B74D4E"/>
    <w:rsid w:val="00B80219"/>
    <w:rsid w:val="00BA19A5"/>
    <w:rsid w:val="00BC67F6"/>
    <w:rsid w:val="00BD2004"/>
    <w:rsid w:val="00BD4B12"/>
    <w:rsid w:val="00BE2F92"/>
    <w:rsid w:val="00BF0D5F"/>
    <w:rsid w:val="00BF4A8F"/>
    <w:rsid w:val="00C11EB4"/>
    <w:rsid w:val="00C12746"/>
    <w:rsid w:val="00C25827"/>
    <w:rsid w:val="00C31BB8"/>
    <w:rsid w:val="00C373EA"/>
    <w:rsid w:val="00C621C1"/>
    <w:rsid w:val="00C62989"/>
    <w:rsid w:val="00C65CBB"/>
    <w:rsid w:val="00C80F37"/>
    <w:rsid w:val="00C97A7F"/>
    <w:rsid w:val="00CB37CB"/>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1D74"/>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DF600C"/>
    <w:rsid w:val="00E061EC"/>
    <w:rsid w:val="00E11C38"/>
    <w:rsid w:val="00E13E51"/>
    <w:rsid w:val="00E43EAD"/>
    <w:rsid w:val="00E62DCB"/>
    <w:rsid w:val="00E651DD"/>
    <w:rsid w:val="00E66558"/>
    <w:rsid w:val="00E70D81"/>
    <w:rsid w:val="00E726A6"/>
    <w:rsid w:val="00E86F05"/>
    <w:rsid w:val="00EA3A2A"/>
    <w:rsid w:val="00EB4556"/>
    <w:rsid w:val="00EB64C8"/>
    <w:rsid w:val="00EB6CFB"/>
    <w:rsid w:val="00ED33E7"/>
    <w:rsid w:val="00ED5108"/>
    <w:rsid w:val="00F012CA"/>
    <w:rsid w:val="00F01752"/>
    <w:rsid w:val="00F0355A"/>
    <w:rsid w:val="00F21177"/>
    <w:rsid w:val="00F24A7E"/>
    <w:rsid w:val="00F33DC0"/>
    <w:rsid w:val="00F62587"/>
    <w:rsid w:val="00F63E9E"/>
    <w:rsid w:val="00F76843"/>
    <w:rsid w:val="00F776E1"/>
    <w:rsid w:val="00F925EB"/>
    <w:rsid w:val="00FA6DD0"/>
    <w:rsid w:val="00FC28DF"/>
    <w:rsid w:val="00FE3136"/>
    <w:rsid w:val="00FE50A3"/>
    <w:rsid w:val="00FE7B91"/>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Laura Collins</cp:lastModifiedBy>
  <cp:revision>3</cp:revision>
  <cp:lastPrinted>2022-11-29T12:08:00Z</cp:lastPrinted>
  <dcterms:created xsi:type="dcterms:W3CDTF">2022-11-29T12:07:00Z</dcterms:created>
  <dcterms:modified xsi:type="dcterms:W3CDTF">2022-11-29T12:27:00Z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